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07</w:t>
      </w:r>
      <w:r>
        <w:t xml:space="preserve"> </w:t>
      </w:r>
      <w:r>
        <w:t xml:space="preserve">·</w:t>
      </w:r>
      <w:r>
        <w:t xml:space="preserve"> </w:t>
      </w:r>
      <w:r>
        <w:t xml:space="preserve">Conseils</w:t>
      </w:r>
      <w:r>
        <w:t xml:space="preserve"> </w:t>
      </w:r>
      <w:r>
        <w:t xml:space="preserve">pour</w:t>
      </w:r>
      <w:r>
        <w:t xml:space="preserve"> </w:t>
      </w:r>
      <w:r>
        <w:t xml:space="preserve">les</w:t>
      </w:r>
      <w:r>
        <w:t xml:space="preserve"> </w:t>
      </w:r>
      <w:r>
        <w:t xml:space="preserve">Aventures</w:t>
      </w:r>
    </w:p>
    <w:bookmarkStart w:id="25" w:name="conseils-pour-les-aventures"/>
    <w:p>
      <w:pPr>
        <w:pStyle w:val="Titre1"/>
      </w:pPr>
      <w:r>
        <w:t xml:space="preserve">07 · Conseils pour les</w:t>
      </w:r>
      <w:r>
        <w:t xml:space="preserve"> </w:t>
      </w:r>
      <w:r>
        <w:t xml:space="preserve">aventures</w:t>
      </w:r>
    </w:p>
    <w:p>
      <w:pPr>
        <w:pStyle w:val="FirstParagraph"/>
      </w:pPr>
      <w:r>
        <w:t xml:space="preserve">Ce chapitre fournit au Maître de Jeu des notes utiles sur la façon de</w:t>
      </w:r>
      <w:r>
        <w:t xml:space="preserve"> </w:t>
      </w:r>
      <w:r>
        <w:t xml:space="preserve">mener une aventure dans la région de Rivendell. Le MJ devrait lire ces</w:t>
      </w:r>
      <w:r>
        <w:t xml:space="preserve"> </w:t>
      </w:r>
      <w:r>
        <w:t xml:space="preserve">conseils avant de sélectionner et d’étudier une des aventures du</w:t>
      </w:r>
      <w:r>
        <w:t xml:space="preserve"> </w:t>
      </w:r>
      <w:r>
        <w:t xml:space="preserve">chapitre 8.0.</w:t>
      </w:r>
    </w:p>
    <w:bookmarkStart w:id="20" w:name="sélection-de-laventure"/>
    <w:p>
      <w:pPr>
        <w:pStyle w:val="Titre2"/>
      </w:pPr>
      <w:r>
        <w:t xml:space="preserve">7.1 Sélection de l’aventure</w:t>
      </w:r>
    </w:p>
    <w:p>
      <w:pPr>
        <w:pStyle w:val="FirstParagraph"/>
      </w:pPr>
      <w:r>
        <w:t xml:space="preserve">Le chapitre 8.0 renferme des scénarios typiques d’aventures agencés</w:t>
      </w:r>
      <w:r>
        <w:t xml:space="preserve"> </w:t>
      </w:r>
      <w:r>
        <w:t xml:space="preserve">en fonction de la difficulté.</w:t>
      </w:r>
    </w:p>
    <w:p>
      <w:pPr>
        <w:pStyle w:val="Corpsdetexte"/>
      </w:pPr>
      <w:r>
        <w:t xml:space="preserve">Le MJ devrait estimer la force et l’expérience des PJ impliqués et</w:t>
      </w:r>
      <w:r>
        <w:t xml:space="preserve"> </w:t>
      </w:r>
      <w:r>
        <w:t xml:space="preserve">choisir l’aventure qui pourrait leur faire rencontrer des difficultés</w:t>
      </w:r>
      <w:r>
        <w:t xml:space="preserve"> </w:t>
      </w:r>
      <w:r>
        <w:t xml:space="preserve">équilibrées sans pour autant les mener au suicide.</w:t>
      </w:r>
    </w:p>
    <w:bookmarkEnd w:id="20"/>
    <w:bookmarkStart w:id="21" w:name="choix-de-la-période"/>
    <w:p>
      <w:pPr>
        <w:pStyle w:val="Titre2"/>
      </w:pPr>
      <w:r>
        <w:t xml:space="preserve">7.2 Choix de la période</w:t>
      </w:r>
    </w:p>
    <w:p>
      <w:pPr>
        <w:pStyle w:val="FirstParagraph"/>
      </w:pPr>
      <w:r>
        <w:t xml:space="preserve">Il est possible que ceux des MJ qui désirent une aventure simple ne</w:t>
      </w:r>
      <w:r>
        <w:t xml:space="preserve"> </w:t>
      </w:r>
      <w:r>
        <w:t xml:space="preserve">se sentent pas concernés par le choix d’une période de temps</w:t>
      </w:r>
      <w:r>
        <w:t xml:space="preserve"> </w:t>
      </w:r>
      <w:r>
        <w:t xml:space="preserve">particulière. Ils peuvent néanmoins jouir d’une plus grande flexibilité</w:t>
      </w:r>
      <w:r>
        <w:t xml:space="preserve"> </w:t>
      </w:r>
      <w:r>
        <w:t xml:space="preserve">et ajouter des détails de leur cru en choisissant une époque différente</w:t>
      </w:r>
      <w:r>
        <w:t xml:space="preserve"> </w:t>
      </w:r>
      <w:r>
        <w:t xml:space="preserve">de la période mentionnée dans ce module.</w:t>
      </w:r>
    </w:p>
    <w:bookmarkEnd w:id="21"/>
    <w:bookmarkStart w:id="22" w:name="suggestions-pour-gérer-les-aventures"/>
    <w:p>
      <w:pPr>
        <w:pStyle w:val="Titre2"/>
      </w:pPr>
      <w:r>
        <w:t xml:space="preserve">7.3 Suggestions pour gérer</w:t>
      </w:r>
      <w:r>
        <w:t xml:space="preserve"> </w:t>
      </w:r>
      <w:r>
        <w:t xml:space="preserve">les aventures</w:t>
      </w:r>
    </w:p>
    <w:p>
      <w:pPr>
        <w:pStyle w:val="FirstParagraph"/>
      </w:pPr>
      <w:r>
        <w:t xml:space="preserve">Une fois que vous êtes familiarisés avec le matériel de hase fourni</w:t>
      </w:r>
      <w:r>
        <w:t xml:space="preserve"> </w:t>
      </w:r>
      <w:r>
        <w:t xml:space="preserve">dans les chapitres 2.0 à 6.0, parcourez les résumés statistiques</w:t>
      </w:r>
      <w:r>
        <w:t xml:space="preserve"> </w:t>
      </w:r>
      <w:r>
        <w:t xml:space="preserve">exprimés dans les tables du chapitre 9.</w:t>
      </w:r>
    </w:p>
    <w:p>
      <w:pPr>
        <w:pStyle w:val="Corpsdetexte"/>
      </w:pPr>
      <w:r>
        <w:t xml:space="preserve">Puis apprenez à connaître les Personnages Non Joueurs (PNJ). Lisez</w:t>
      </w:r>
      <w:r>
        <w:t xml:space="preserve"> </w:t>
      </w:r>
      <w:r>
        <w:t xml:space="preserve">les descriptions des PNJ et de penser comme ceux-ci le feraient.</w:t>
      </w:r>
    </w:p>
    <w:p>
      <w:pPr>
        <w:pStyle w:val="Corpsdetexte"/>
      </w:pPr>
      <w:r>
        <w:t xml:space="preserve">Examinez les plans complexes d’habitation et notez où sont situés les</w:t>
      </w:r>
      <w:r>
        <w:t xml:space="preserve"> </w:t>
      </w:r>
      <w:r>
        <w:t xml:space="preserve">pièges, les postes de garde et les points faibles. Même si une pièce</w:t>
      </w:r>
      <w:r>
        <w:t xml:space="preserve"> </w:t>
      </w:r>
      <w:r>
        <w:t xml:space="preserve">n’est pas signalée comme ayant un occupant, considérez la possibilité</w:t>
      </w:r>
      <w:r>
        <w:t xml:space="preserve"> </w:t>
      </w:r>
      <w:r>
        <w:t xml:space="preserve">qu’elle soit occupée quand les Personnages Joueurs y pénètrent.</w:t>
      </w:r>
    </w:p>
    <w:bookmarkEnd w:id="22"/>
    <w:bookmarkStart w:id="23" w:name="rencontres"/>
    <w:p>
      <w:pPr>
        <w:pStyle w:val="Titre2"/>
      </w:pPr>
      <w:r>
        <w:t xml:space="preserve">7.4 Rencontres</w:t>
      </w:r>
    </w:p>
    <w:p>
      <w:pPr>
        <w:pStyle w:val="FirstParagraph"/>
      </w:pPr>
      <w:r>
        <w:t xml:space="preserve">Le havre de Rivendell est un lieu peu ordinaire des Terres du Milieu</w:t>
      </w:r>
      <w:r>
        <w:t xml:space="preserve"> </w:t>
      </w:r>
      <w:r>
        <w:t xml:space="preserve">; les rencontres au sein du royaume d’Elrond devront être soigneusement</w:t>
      </w:r>
      <w:r>
        <w:t xml:space="preserve"> </w:t>
      </w:r>
      <w:r>
        <w:t xml:space="preserve">examinées.</w:t>
      </w:r>
    </w:p>
    <w:bookmarkEnd w:id="23"/>
    <w:bookmarkStart w:id="24" w:name="pièges-armes-et-sorts"/>
    <w:p>
      <w:pPr>
        <w:pStyle w:val="Titre2"/>
      </w:pPr>
      <w:r>
        <w:t xml:space="preserve">7.5 Pièges, armes et sorts</w:t>
      </w:r>
    </w:p>
    <w:p>
      <w:pPr>
        <w:pStyle w:val="FirstParagraph"/>
      </w:pPr>
      <w:r>
        <w:t xml:space="preserve">Les descriptions des plans font souvent référence à des pièges et des</w:t>
      </w:r>
      <w:r>
        <w:t xml:space="preserve"> </w:t>
      </w:r>
      <w:r>
        <w:t xml:space="preserve">serrures. Les références suivantes sont fournies au MJ pour JRTM et pour</w:t>
      </w:r>
      <w:r>
        <w:t xml:space="preserve"> </w:t>
      </w:r>
      <w:r>
        <w:t xml:space="preserve">Rolemaster.</w:t>
      </w:r>
    </w:p>
    <w:p>
      <w:pPr>
        <w:pStyle w:val="Corpsdetexte"/>
      </w:pPr>
      <w:r>
        <w:t xml:space="preserve">Pour se rendre compte de l’échec ou de la réussite des tentatives de</w:t>
      </w:r>
      <w:r>
        <w:t xml:space="preserve"> </w:t>
      </w:r>
      <w:r>
        <w:t xml:space="preserve">désarmement ou de crochetage de ces mécanismes, faites faire un jet de</w:t>
      </w:r>
      <w:r>
        <w:t xml:space="preserve"> </w:t>
      </w:r>
      <w:r>
        <w:t xml:space="preserve">dé au PJ impliqué, ajoutez les bonus appropriés et soustrayez le facteur</w:t>
      </w:r>
      <w:r>
        <w:t xml:space="preserve"> </w:t>
      </w:r>
      <w:r>
        <w:t xml:space="preserve">de difficulté assigné au mécanisme. Puis référez-vous, pour JRTM, à la</w:t>
      </w:r>
      <w:r>
        <w:t xml:space="preserve"> </w:t>
      </w:r>
      <w:r>
        <w:t xml:space="preserve">table TM-2 et, pour Rolemaster, au Manuel des Personnages.</w:t>
      </w:r>
    </w:p>
    <w:p>
      <w:pPr>
        <w:pStyle w:val="Corpsdetexte"/>
      </w:pPr>
      <w:r>
        <w:t xml:space="preserve">Les résultats d’attaques par Chute/Projection/Écrasement et</w:t>
      </w:r>
      <w:r>
        <w:t xml:space="preserve"> </w:t>
      </w:r>
      <w:r>
        <w:t xml:space="preserve">d’attaques des animaux sont résolus, pour JRTM, dans les tables TSC-2 et</w:t>
      </w:r>
      <w:r>
        <w:t xml:space="preserve"> </w:t>
      </w:r>
      <w:r>
        <w:t xml:space="preserve">TA-5 ou TA-6 et, pour Rolemaster, dans le Manuel des Combats.</w:t>
      </w:r>
    </w:p>
    <w:p>
      <w:pPr>
        <w:pStyle w:val="Corpsdetexte"/>
      </w:pPr>
      <w:r>
        <w:t xml:space="preserve">Les attaques par armes sont contenues, pour JRTM, dans les tables</w:t>
      </w:r>
      <w:r>
        <w:t xml:space="preserve"> </w:t>
      </w:r>
      <w:r>
        <w:t xml:space="preserve">TSC-1 et TA-1 à TA-4 et, pour Rolemaster, dans le Manuel des</w:t>
      </w:r>
      <w:r>
        <w:t xml:space="preserve"> </w:t>
      </w:r>
      <w:r>
        <w:t xml:space="preserve">Combats.</w:t>
      </w:r>
    </w:p>
    <w:p>
      <w:pPr>
        <w:pStyle w:val="Corpsdetexte"/>
      </w:pPr>
      <w:r>
        <w:t xml:space="preserve">Les sorts sont gérés, pour JRTM, au paragraphe 7.1 et, pour</w:t>
      </w:r>
      <w:r>
        <w:t xml:space="preserve"> </w:t>
      </w:r>
      <w:r>
        <w:t xml:space="preserve">Rolemaster dans le Manuel des Sorts.</w:t>
      </w:r>
    </w:p>
    <w:bookmarkEnd w:id="24"/>
    <w:bookmarkEnd w:id="2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· Conseils pour les Aventures</dc:title>
  <dc:creator/>
  <dc:language/>
  <cp:keywords/>
  <dcterms:created xsi:type="dcterms:W3CDTF">2023-12-10T07:21:19Z</dcterms:created>
  <dcterms:modified xsi:type="dcterms:W3CDTF">2023-12-10T07:21:19Z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